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numId w:val="0"/>
        </w:numPr>
        <w:suppressLineNumbers w:val="0"/>
        <w:spacing w:before="0" w:beforeAutospacing="1" w:after="0" w:afterAutospacing="1" w:line="256" w:lineRule="auto"/>
        <w:rPr>
          <w:rFonts w:ascii="serif" w:hAnsi="serif" w:eastAsia="serif" w:cs="serif"/>
          <w:sz w:val="24"/>
          <w:szCs w:val="24"/>
        </w:rPr>
      </w:pPr>
      <w:r>
        <w:rPr>
          <w:rFonts w:hint="default" w:ascii="serif" w:hAnsi="serif" w:eastAsia="serif" w:cs="serif"/>
          <w:sz w:val="24"/>
          <w:szCs w:val="24"/>
        </w:rPr>
        <w:t>Explain a tax preparer’s professional responsibilities in tax return preparation related to gross income, adjusted gross income, and taxable income.</w:t>
      </w:r>
    </w:p>
    <w:p>
      <w:pPr>
        <w:keepNext w:val="0"/>
        <w:keepLines w:val="0"/>
        <w:widowControl/>
        <w:numPr>
          <w:ilvl w:val="0"/>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 xml:space="preserve">It is a professional tax preparer’s responsibility to discover the client’s annual income, exemptions, deductions and expenses. He/she must ask the appropriate questions to determine the correct tax form required by the client. If the client used the same preparer’s services for the previous year, the preparer should also look at the prior year’s tax forms and ask about any changes. The preparer must collect the client’s current year financial information. This would include any W-2s, documented expenses like receipts, names and social security numbers of all dependents, and anything else tax related that the client received. The preparer will try to use all tax saving deductions or credits available to the client in order to reduce the amount of taxes paid by the client. </w:t>
      </w:r>
    </w:p>
    <w:p>
      <w:pPr>
        <w:keepNext w:val="0"/>
        <w:keepLines w:val="0"/>
        <w:widowControl/>
        <w:numPr>
          <w:numId w:val="0"/>
        </w:numPr>
        <w:suppressLineNumbers w:val="0"/>
        <w:spacing w:before="0" w:beforeAutospacing="1" w:after="0" w:afterAutospacing="1" w:line="256" w:lineRule="auto"/>
        <w:rPr>
          <w:rFonts w:hint="default" w:ascii="serif" w:hAnsi="serif" w:eastAsia="serif" w:cs="serif"/>
          <w:sz w:val="24"/>
          <w:szCs w:val="24"/>
        </w:rPr>
      </w:pPr>
      <w:r>
        <w:rPr>
          <w:rFonts w:hint="default" w:ascii="serif" w:hAnsi="serif" w:eastAsia="serif" w:cs="serif"/>
          <w:sz w:val="24"/>
          <w:szCs w:val="24"/>
        </w:rPr>
        <w:t xml:space="preserve">Describe how tax preparers demonstrate ethical behavior in the tax preparation process for their clients. </w:t>
      </w:r>
    </w:p>
    <w:p>
      <w:pPr>
        <w:keepNext w:val="0"/>
        <w:keepLines w:val="0"/>
        <w:widowControl/>
        <w:numPr>
          <w:ilvl w:val="0"/>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Tax payers are responsible for any mistakes made by tax preparers in preparing taxes. Once the tax document is signed by the tax payer, the tax payer has assumed full responsibility of the information provided.</w:t>
      </w:r>
    </w:p>
    <w:p>
      <w:pPr>
        <w:keepNext w:val="0"/>
        <w:keepLines w:val="0"/>
        <w:widowControl/>
        <w:numPr>
          <w:ilvl w:val="0"/>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Tax professionals must remain independent. They cannot serve a management role for a person or company that is being audited, audit his/her own work, advocate on behalf of the client, or have any conflict of interest with the person or company being audited. Any advice or email from a tax professional must have a disclaimer at the bottom so that it is not taken as a personal directive. Tax professionals practice ethical behavior by ensuring that their client provides them with complete and accurate information. Honest communication between tax preparer and the client is crucial.</w:t>
      </w:r>
    </w:p>
    <w:p>
      <w:pPr>
        <w:keepNext w:val="0"/>
        <w:keepLines w:val="0"/>
        <w:widowControl/>
        <w:numPr>
          <w:numId w:val="0"/>
        </w:numPr>
        <w:suppressLineNumbers w:val="0"/>
        <w:spacing w:before="0" w:beforeAutospacing="1" w:after="0" w:afterAutospacing="1" w:line="256" w:lineRule="auto"/>
        <w:rPr>
          <w:rFonts w:hint="default" w:ascii="serif" w:hAnsi="serif" w:eastAsia="serif" w:cs="serif"/>
          <w:sz w:val="24"/>
          <w:szCs w:val="24"/>
        </w:rPr>
      </w:pPr>
      <w:r>
        <w:rPr>
          <w:rFonts w:hint="default" w:ascii="serif" w:hAnsi="serif" w:eastAsia="serif" w:cs="serif"/>
          <w:sz w:val="24"/>
          <w:szCs w:val="24"/>
        </w:rPr>
        <w:t xml:space="preserve">Identify recommendations a tax preparer would provide to clients in terms of planning ahead. </w:t>
      </w:r>
    </w:p>
    <w:p>
      <w:pPr>
        <w:keepNext w:val="0"/>
        <w:keepLines w:val="0"/>
        <w:widowControl/>
        <w:numPr>
          <w:ilvl w:val="0"/>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 xml:space="preserve">Tax professionals recommendations regarding planning ahead would involve W-4 withholding checkups. Examining previous years W-4’s to confirm tax payers are having enough taxes withheld to cover their liabilities. Tax planning needs to involve listening to the client to understand what their needs are. If the client has a business, tax reform might be something to think about. Making sure the client knows what legitimate business expenses are, potential deductions, and leasing versus buying a car. Discuss the benefits of hiring employees versus paying independent contractors. </w:t>
      </w:r>
    </w:p>
    <w:p>
      <w:pPr>
        <w:keepNext w:val="0"/>
        <w:keepLines w:val="0"/>
        <w:widowControl/>
        <w:numPr>
          <w:numId w:val="0"/>
        </w:numPr>
        <w:suppressLineNumbers w:val="0"/>
        <w:spacing w:before="0" w:beforeAutospacing="1" w:after="0" w:afterAutospacing="1" w:line="256" w:lineRule="auto"/>
        <w:rPr>
          <w:rFonts w:hint="default" w:ascii="serif" w:hAnsi="serif" w:eastAsia="serif" w:cs="serif"/>
          <w:sz w:val="24"/>
          <w:szCs w:val="24"/>
        </w:rPr>
      </w:pPr>
      <w:r>
        <w:rPr>
          <w:rFonts w:hint="default" w:ascii="serif" w:hAnsi="serif" w:eastAsia="serif" w:cs="serif"/>
          <w:sz w:val="24"/>
          <w:szCs w:val="24"/>
        </w:rPr>
        <w:t>Explain what actions can be taken now to reduce their overall tax burden.</w:t>
      </w:r>
      <w:r>
        <w:rPr>
          <w:rFonts w:hint="default" w:ascii="serif" w:hAnsi="serif" w:eastAsia="serif" w:cs="serif"/>
          <w:sz w:val="24"/>
          <w:szCs w:val="24"/>
          <w:lang w:val="en-US"/>
        </w:rPr>
        <w:t xml:space="preserve"> </w:t>
      </w:r>
    </w:p>
    <w:p>
      <w:pPr>
        <w:keepNext w:val="0"/>
        <w:keepLines w:val="0"/>
        <w:widowControl/>
        <w:numPr>
          <w:ilvl w:val="0"/>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Contributing to a retirement account, 401(k) or an IRA can be deducted from your taxable income. Open a health savings account if you have a high-deductible medical plan. Self-employed clients can deduct business related mileage, shipping, advertising, website fees, professional publications dues, business-related travel, and premiums for health, dental, or long-term care insurance may be deductible as well. If you have a home office, you may be able to deduct it. Self-employment  taxes can be deducted up to 50%. Higher education can qualify you for tax credits. See if you can qualify for earned income tax credit.  Make charitable donations up to $300 to qualify for a deduction.</w:t>
      </w:r>
    </w:p>
    <w:p>
      <w:pPr>
        <w:keepNext w:val="0"/>
        <w:keepLines w:val="0"/>
        <w:widowControl/>
        <w:numPr>
          <w:ilvl w:val="0"/>
          <w:numId w:val="0"/>
        </w:numPr>
        <w:suppressLineNumbers w:val="0"/>
        <w:spacing w:before="0" w:beforeAutospacing="1" w:after="0" w:afterAutospacing="1" w:line="256" w:lineRule="auto"/>
        <w:rPr>
          <w:rFonts w:hint="default" w:ascii="serif" w:hAnsi="serif" w:eastAsia="serif" w:cs="serif"/>
          <w:sz w:val="24"/>
          <w:szCs w:val="24"/>
        </w:rPr>
      </w:pPr>
      <w:r>
        <w:rPr>
          <w:rFonts w:hint="default" w:ascii="serif" w:hAnsi="serif" w:eastAsia="serif" w:cs="serif"/>
          <w:sz w:val="24"/>
          <w:szCs w:val="24"/>
        </w:rPr>
        <w:t>Describe the different tax forms. Explain when each type of form is most appropriate.</w:t>
      </w:r>
    </w:p>
    <w:p>
      <w:pPr>
        <w:keepNext w:val="0"/>
        <w:keepLines w:val="0"/>
        <w:widowControl/>
        <w:numPr>
          <w:ilvl w:val="0"/>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1040 form is the basic form for tax payers annual tax return.</w:t>
      </w:r>
    </w:p>
    <w:p>
      <w:pPr>
        <w:keepNext w:val="0"/>
        <w:keepLines w:val="0"/>
        <w:widowControl/>
        <w:numPr>
          <w:ilvl w:val="0"/>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The 1040-SR is a version of the 1040 for taxpayers over 65 years of age. In print form the text is a little bigger and easier to read. It is otherwise the same as the standard 1040.</w:t>
      </w:r>
    </w:p>
    <w:p>
      <w:pPr>
        <w:keepNext w:val="0"/>
        <w:keepLines w:val="0"/>
        <w:widowControl/>
        <w:numPr>
          <w:numId w:val="0"/>
        </w:numPr>
        <w:suppressLineNumbers w:val="0"/>
        <w:spacing w:before="0" w:beforeAutospacing="1" w:after="0" w:afterAutospacing="1" w:line="256" w:lineRule="auto"/>
        <w:jc w:val="both"/>
        <w:rPr>
          <w:rFonts w:hint="default" w:ascii="Times New Roman" w:hAnsi="Times New Roman" w:eastAsia="serif" w:cs="Times New Roman"/>
          <w:sz w:val="24"/>
          <w:szCs w:val="24"/>
          <w:lang w:val="en-US"/>
        </w:rPr>
      </w:pPr>
      <w:r>
        <w:rPr>
          <w:rFonts w:hint="default" w:ascii="Times New Roman" w:hAnsi="Times New Roman" w:eastAsia="serif" w:cs="Times New Roman"/>
          <w:sz w:val="24"/>
          <w:szCs w:val="24"/>
          <w:lang w:val="en-US"/>
        </w:rPr>
        <w:t xml:space="preserve">The 1040A allows claims for certain adjustments not available using the 1040EZ form. It is used for filing as head of household. It only applies to people with taxable income of less than $100,000. It allows you to include dividends, pensions, annuities, IRAs and capital gains distributions. </w:t>
      </w:r>
    </w:p>
    <w:p>
      <w:pPr>
        <w:keepNext w:val="0"/>
        <w:keepLines w:val="0"/>
        <w:widowControl/>
        <w:numPr>
          <w:numId w:val="0"/>
        </w:numPr>
        <w:suppressLineNumbers w:val="0"/>
        <w:spacing w:before="0" w:beforeAutospacing="1" w:after="0" w:afterAutospacing="1" w:line="256" w:lineRule="auto"/>
        <w:jc w:val="both"/>
        <w:rPr>
          <w:rFonts w:hint="default" w:ascii="Times New Roman" w:hAnsi="Times New Roman" w:eastAsia="sans-serif" w:cs="Times New Roman"/>
          <w:i w:val="0"/>
          <w:caps w:val="0"/>
          <w:color w:val="34495D"/>
          <w:spacing w:val="0"/>
          <w:sz w:val="24"/>
          <w:szCs w:val="24"/>
          <w:shd w:val="clear" w:fill="FFFFFF"/>
          <w:lang w:val="en-US"/>
        </w:rPr>
      </w:pPr>
      <w:r>
        <w:rPr>
          <w:rFonts w:hint="default" w:ascii="Times New Roman" w:hAnsi="Times New Roman" w:eastAsia="serif" w:cs="Times New Roman"/>
          <w:sz w:val="24"/>
          <w:szCs w:val="24"/>
          <w:lang w:val="en-US"/>
        </w:rPr>
        <w:t xml:space="preserve">The 1040EZ form is the shortest federal individual income tax form. It is used for taxpayers filing single or married filing jointly with no dependents. This form is for those people that make less than $100,000 and are filing single or married filing jointly. They have no dependents, no adjustments to income, can only claim EITC or federal telephone excise tax credit, are under 65, </w:t>
      </w:r>
      <w:r>
        <w:rPr>
          <w:rFonts w:hint="default" w:ascii="Times New Roman" w:hAnsi="Times New Roman" w:eastAsia="sans-serif" w:cs="Times New Roman"/>
          <w:i w:val="0"/>
          <w:caps w:val="0"/>
          <w:color w:val="34495D"/>
          <w:spacing w:val="0"/>
          <w:sz w:val="24"/>
          <w:szCs w:val="24"/>
          <w:shd w:val="clear" w:fill="FFFFFF"/>
        </w:rPr>
        <w:t>has income from only the following sources: wages, salaries, tips, unemployment compensation, taxable scholarship or fellowship grants, or Alaska Permanent Funds dividends</w:t>
      </w:r>
      <w:r>
        <w:rPr>
          <w:rFonts w:hint="default" w:ascii="Times New Roman" w:hAnsi="Times New Roman" w:eastAsia="sans-serif" w:cs="Times New Roman"/>
          <w:i w:val="0"/>
          <w:caps w:val="0"/>
          <w:color w:val="34495D"/>
          <w:spacing w:val="0"/>
          <w:sz w:val="24"/>
          <w:szCs w:val="24"/>
          <w:shd w:val="clear" w:fill="FFFFFF"/>
          <w:lang w:val="en-US"/>
        </w:rPr>
        <w:t xml:space="preserve">, has less than 1500 taxable interest, has not received any advance EITC payments, doesn’t owe any household </w:t>
      </w:r>
      <w:r>
        <w:rPr>
          <w:rFonts w:hint="default" w:ascii="Times New Roman" w:hAnsi="Times New Roman" w:eastAsia="sans-serif" w:cs="Times New Roman"/>
          <w:i w:val="0"/>
          <w:color w:val="34495D"/>
          <w:spacing w:val="0"/>
          <w:sz w:val="24"/>
          <w:szCs w:val="24"/>
          <w:shd w:val="clear" w:fill="FFFFFF"/>
          <w:lang w:val="en-US"/>
        </w:rPr>
        <w:t>employment</w:t>
      </w:r>
      <w:r>
        <w:rPr>
          <w:rFonts w:hint="default" w:ascii="Times New Roman" w:hAnsi="Times New Roman" w:eastAsia="sans-serif" w:cs="Times New Roman"/>
          <w:i w:val="0"/>
          <w:caps w:val="0"/>
          <w:color w:val="34495D"/>
          <w:spacing w:val="0"/>
          <w:sz w:val="24"/>
          <w:szCs w:val="24"/>
          <w:shd w:val="clear" w:fill="FFFFFF"/>
          <w:lang w:val="en-US"/>
        </w:rPr>
        <w:t xml:space="preserve"> taxes, does not owe any alternative Minimum tax, and is not a debtor in a Chapter 11 bankruptcy case.</w:t>
      </w:r>
    </w:p>
    <w:p>
      <w:pPr>
        <w:keepNext w:val="0"/>
        <w:keepLines w:val="0"/>
        <w:widowControl/>
        <w:numPr>
          <w:numId w:val="0"/>
        </w:numPr>
        <w:suppressLineNumbers w:val="0"/>
        <w:spacing w:before="0" w:beforeAutospacing="1" w:after="0" w:afterAutospacing="1" w:line="256" w:lineRule="auto"/>
        <w:jc w:val="both"/>
        <w:rPr>
          <w:rFonts w:hint="default" w:ascii="Times New Roman" w:hAnsi="Times New Roman" w:eastAsia="sans-serif" w:cs="Times New Roman"/>
          <w:i w:val="0"/>
          <w:caps w:val="0"/>
          <w:color w:val="34495D"/>
          <w:spacing w:val="0"/>
          <w:sz w:val="24"/>
          <w:szCs w:val="24"/>
          <w:shd w:val="clear" w:fill="FFFFFF"/>
          <w:lang w:val="en-US"/>
        </w:rPr>
      </w:pPr>
      <w:r>
        <w:rPr>
          <w:rFonts w:hint="default" w:ascii="Times New Roman" w:hAnsi="Times New Roman" w:eastAsia="sans-serif" w:cs="Times New Roman"/>
          <w:i w:val="0"/>
          <w:caps w:val="0"/>
          <w:color w:val="34495D"/>
          <w:spacing w:val="0"/>
          <w:sz w:val="24"/>
          <w:szCs w:val="24"/>
          <w:shd w:val="clear" w:fill="FFFFFF"/>
          <w:lang w:val="en-US"/>
        </w:rPr>
        <w:t>As of 2018, the</w:t>
      </w:r>
      <w:bookmarkStart w:id="0" w:name="_GoBack"/>
      <w:bookmarkEnd w:id="0"/>
      <w:r>
        <w:rPr>
          <w:rFonts w:hint="default" w:ascii="Times New Roman" w:hAnsi="Times New Roman" w:eastAsia="sans-serif" w:cs="Times New Roman"/>
          <w:i w:val="0"/>
          <w:caps w:val="0"/>
          <w:color w:val="34495D"/>
          <w:spacing w:val="0"/>
          <w:sz w:val="24"/>
          <w:szCs w:val="24"/>
          <w:shd w:val="clear" w:fill="FFFFFF"/>
          <w:lang w:val="en-US"/>
        </w:rPr>
        <w:t xml:space="preserve">re are only the 1040 and the 1040SR. </w:t>
      </w:r>
    </w:p>
    <w:sectPr>
      <w:pgSz w:w="11906" w:h="16838"/>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ans-serif">
    <w:altName w:val="Segoe Print"/>
    <w:panose1 w:val="00000000000000000000"/>
    <w:charset w:val="00"/>
    <w:family w:val="auto"/>
    <w:pitch w:val="default"/>
    <w:sig w:usb0="00000000" w:usb1="00000000" w:usb2="00000000" w:usb3="00000000" w:csb0="00000000" w:csb1="00000000"/>
  </w:font>
  <w:font w:name="Arial Black">
    <w:panose1 w:val="020B0A04020102020204"/>
    <w:charset w:val="00"/>
    <w:family w:val="auto"/>
    <w:pitch w:val="default"/>
    <w:sig w:usb0="A00002AF" w:usb1="400078FB"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DF36DE"/>
    <w:rsid w:val="0EDF36DE"/>
    <w:rsid w:val="1432542E"/>
    <w:rsid w:val="2777706D"/>
    <w:rsid w:val="36A1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294</TotalTime>
  <ScaleCrop>false</ScaleCrop>
  <LinksUpToDate>false</LinksUpToDate>
  <CharactersWithSpaces>0</CharactersWithSpaces>
  <Application>WPS Office_11.2.0.9669_F1E327BC-269C-435d-A152-05C5408002CA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2021-04-21T19:26:00Z</dcterms:created>
  <dc:creator>palom</dc:creator>
  <cp:lastModifiedBy>palom</cp:lastModifiedBy>
  <dcterms:modified xsi:type="dcterms:W3CDTF">2021-04-23T03:35:50Z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1033-11.2.0.9669</vt:lpwstr>
  </property>
</Properties>
</file>